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70" w:rsidRPr="00704BB6" w:rsidRDefault="00E23170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</w:t>
      </w:r>
      <w:r w:rsidRPr="00704BB6">
        <w:rPr>
          <w:rFonts w:ascii="Times New Roman" w:hAnsi="Times New Roman" w:cs="Times New Roman"/>
          <w:b/>
          <w:sz w:val="24"/>
          <w:szCs w:val="24"/>
        </w:rPr>
        <w:t>Список новых поступлений</w:t>
      </w:r>
    </w:p>
    <w:p w:rsidR="00704BB6" w:rsidRPr="00704BB6" w:rsidRDefault="00704BB6">
      <w:pPr>
        <w:rPr>
          <w:rFonts w:ascii="Times New Roman" w:hAnsi="Times New Roman" w:cs="Times New Roman"/>
          <w:sz w:val="24"/>
          <w:szCs w:val="24"/>
        </w:rPr>
      </w:pPr>
    </w:p>
    <w:p w:rsidR="00E23170" w:rsidRPr="00704BB6" w:rsidRDefault="00E23170">
      <w:pPr>
        <w:rPr>
          <w:rFonts w:ascii="Times New Roman" w:hAnsi="Times New Roman" w:cs="Times New Roman"/>
          <w:b/>
          <w:sz w:val="24"/>
          <w:szCs w:val="24"/>
        </w:rPr>
      </w:pPr>
      <w:r w:rsidRPr="00704BB6">
        <w:rPr>
          <w:rFonts w:ascii="Times New Roman" w:hAnsi="Times New Roman" w:cs="Times New Roman"/>
          <w:b/>
          <w:sz w:val="24"/>
          <w:szCs w:val="24"/>
        </w:rPr>
        <w:t>1.</w:t>
      </w:r>
      <w:r w:rsidR="00865CF4" w:rsidRPr="00704BB6">
        <w:rPr>
          <w:rFonts w:ascii="Times New Roman" w:hAnsi="Times New Roman" w:cs="Times New Roman"/>
          <w:b/>
          <w:sz w:val="24"/>
          <w:szCs w:val="24"/>
        </w:rPr>
        <w:t>Шаститко А. Надо ли защищать конкуренцию от интеллектуальной собственности?//Экономист.-2013.-№ 8.-С. 60-82.</w:t>
      </w:r>
    </w:p>
    <w:p w:rsidR="00865CF4" w:rsidRPr="00704BB6" w:rsidRDefault="00865CF4">
      <w:pPr>
        <w:rPr>
          <w:rFonts w:ascii="Times New Roman" w:hAnsi="Times New Roman" w:cs="Times New Roman"/>
          <w:sz w:val="24"/>
          <w:szCs w:val="24"/>
        </w:rPr>
      </w:pPr>
      <w:r w:rsidRPr="00704BB6">
        <w:rPr>
          <w:rFonts w:ascii="Times New Roman" w:hAnsi="Times New Roman" w:cs="Times New Roman"/>
          <w:sz w:val="24"/>
          <w:szCs w:val="24"/>
        </w:rPr>
        <w:t>В статье рассмотрены дискретные структурные альтернативы (ДСА) создания и использования результатов интеллектуальной деятельности (РИД), включая спецификацию и защиту прав на РИД, с точки зрения обеспечения их сбалансированности с защитой конкуренции. Проанализированы ДСА в рамках патентной системы: с учетом различий в стимулах в зависимости от особенностей рынка товара, для производства которого используется РИД, а также режимов антимонопольного регулирования. Кроме того, рассмотрены режимы открытого доступа к</w:t>
      </w:r>
      <w:r w:rsidR="00704BB6">
        <w:rPr>
          <w:rFonts w:ascii="Times New Roman" w:hAnsi="Times New Roman" w:cs="Times New Roman"/>
          <w:sz w:val="24"/>
          <w:szCs w:val="24"/>
        </w:rPr>
        <w:t xml:space="preserve"> </w:t>
      </w:r>
      <w:r w:rsidRPr="00704BB6">
        <w:rPr>
          <w:rFonts w:ascii="Times New Roman" w:hAnsi="Times New Roman" w:cs="Times New Roman"/>
          <w:sz w:val="24"/>
          <w:szCs w:val="24"/>
        </w:rPr>
        <w:t xml:space="preserve"> РИД, в том числе  созданные на основе стимулов в рамках системы призов и закупок для государственных нужд. Предложены рекомендации по обеспечению сбалансированности двух направлений экономической политики в России с учетом специфики антитраста и состояния дел в сфере защиты прав на РИД.</w:t>
      </w:r>
    </w:p>
    <w:p w:rsidR="00865CF4" w:rsidRPr="00704BB6" w:rsidRDefault="00865CF4">
      <w:pPr>
        <w:rPr>
          <w:rFonts w:ascii="Times New Roman" w:hAnsi="Times New Roman" w:cs="Times New Roman"/>
          <w:b/>
          <w:sz w:val="24"/>
          <w:szCs w:val="24"/>
        </w:rPr>
      </w:pPr>
      <w:r w:rsidRPr="00704BB6">
        <w:rPr>
          <w:rFonts w:ascii="Times New Roman" w:hAnsi="Times New Roman" w:cs="Times New Roman"/>
          <w:b/>
          <w:sz w:val="24"/>
          <w:szCs w:val="24"/>
        </w:rPr>
        <w:t>2. Корнаи Я. Нарушая обещания: венгерский опыт.//</w:t>
      </w:r>
      <w:r w:rsidR="008A6027" w:rsidRPr="00704BB6">
        <w:rPr>
          <w:rFonts w:ascii="Times New Roman" w:hAnsi="Times New Roman" w:cs="Times New Roman"/>
          <w:b/>
          <w:sz w:val="24"/>
          <w:szCs w:val="24"/>
        </w:rPr>
        <w:t xml:space="preserve"> Экономист.-2013.-№ 8.-С. 123-142.</w:t>
      </w:r>
    </w:p>
    <w:p w:rsidR="008A6027" w:rsidRPr="00704BB6" w:rsidRDefault="008A6027">
      <w:pPr>
        <w:rPr>
          <w:rFonts w:ascii="Times New Roman" w:hAnsi="Times New Roman" w:cs="Times New Roman"/>
          <w:sz w:val="24"/>
          <w:szCs w:val="24"/>
        </w:rPr>
      </w:pPr>
      <w:r w:rsidRPr="00704BB6">
        <w:rPr>
          <w:rFonts w:ascii="Times New Roman" w:hAnsi="Times New Roman" w:cs="Times New Roman"/>
          <w:sz w:val="24"/>
          <w:szCs w:val="24"/>
        </w:rPr>
        <w:t>В статье анализируется значение обещаний и обязательств в экономической жизни, выделяются основные типы обязательств, а также показаны неблагоприятные последствия их нарушения. Приводятся обстоятельства, которые необходимо учитывать для взвешенной оценки ситуаций, когда обязательства не выполнены. Примеры нарушения обещаний, логика такого нарушения и препятствующие ему факторы обсуждаются в этическом и политическом контекстах.</w:t>
      </w:r>
    </w:p>
    <w:p w:rsidR="008A6027" w:rsidRPr="00704BB6" w:rsidRDefault="008A6027">
      <w:pPr>
        <w:rPr>
          <w:rFonts w:ascii="Times New Roman" w:hAnsi="Times New Roman" w:cs="Times New Roman"/>
          <w:b/>
          <w:sz w:val="24"/>
          <w:szCs w:val="24"/>
        </w:rPr>
      </w:pPr>
      <w:r w:rsidRPr="00704BB6">
        <w:rPr>
          <w:rFonts w:ascii="Times New Roman" w:hAnsi="Times New Roman" w:cs="Times New Roman"/>
          <w:b/>
          <w:sz w:val="24"/>
          <w:szCs w:val="24"/>
        </w:rPr>
        <w:t>3. Григорьев С.Н., Грибков А.А., Захарченко Д.В., Корниенко А.А. Приоритеты государственной промышленной политики в области станкостроения.//ЭКО.-2013.-№ 9.-С. 81-94.</w:t>
      </w:r>
    </w:p>
    <w:p w:rsidR="008A6027" w:rsidRPr="00704BB6" w:rsidRDefault="008A6027">
      <w:pPr>
        <w:rPr>
          <w:rFonts w:ascii="Times New Roman" w:hAnsi="Times New Roman" w:cs="Times New Roman"/>
          <w:sz w:val="24"/>
          <w:szCs w:val="24"/>
        </w:rPr>
      </w:pPr>
      <w:r w:rsidRPr="00704BB6">
        <w:rPr>
          <w:rFonts w:ascii="Times New Roman" w:hAnsi="Times New Roman" w:cs="Times New Roman"/>
          <w:sz w:val="24"/>
          <w:szCs w:val="24"/>
        </w:rPr>
        <w:t>В статье проведен анализ российского рынка станков, выявлены сегменты с доминированием и существенной долей отечественной продукции. На основе проведенного анализа определены приоритеты государственной промышленной политики в области станкостроения.</w:t>
      </w:r>
    </w:p>
    <w:p w:rsidR="008A6027" w:rsidRPr="00704BB6" w:rsidRDefault="008A6027">
      <w:pPr>
        <w:rPr>
          <w:rFonts w:ascii="Times New Roman" w:hAnsi="Times New Roman" w:cs="Times New Roman"/>
          <w:b/>
          <w:sz w:val="24"/>
          <w:szCs w:val="24"/>
        </w:rPr>
      </w:pPr>
      <w:r w:rsidRPr="00704BB6">
        <w:rPr>
          <w:rFonts w:ascii="Times New Roman" w:hAnsi="Times New Roman" w:cs="Times New Roman"/>
          <w:b/>
          <w:sz w:val="24"/>
          <w:szCs w:val="24"/>
        </w:rPr>
        <w:t>4. Ислямов Ю.Ю. Нужно сохранить потенциал производственных площадок.// ЭКО.-2013.-№ 9.-С. 145-</w:t>
      </w:r>
      <w:r w:rsidR="007C273B" w:rsidRPr="00704BB6">
        <w:rPr>
          <w:rFonts w:ascii="Times New Roman" w:hAnsi="Times New Roman" w:cs="Times New Roman"/>
          <w:b/>
          <w:sz w:val="24"/>
          <w:szCs w:val="24"/>
        </w:rPr>
        <w:t>158.</w:t>
      </w:r>
    </w:p>
    <w:p w:rsidR="008A6027" w:rsidRDefault="008A6027">
      <w:pPr>
        <w:rPr>
          <w:rFonts w:ascii="Times New Roman" w:hAnsi="Times New Roman" w:cs="Times New Roman"/>
          <w:sz w:val="24"/>
          <w:szCs w:val="24"/>
        </w:rPr>
      </w:pPr>
      <w:r w:rsidRPr="00704BB6">
        <w:rPr>
          <w:rFonts w:ascii="Times New Roman" w:hAnsi="Times New Roman" w:cs="Times New Roman"/>
          <w:sz w:val="24"/>
          <w:szCs w:val="24"/>
        </w:rPr>
        <w:t xml:space="preserve">В интервью директора старейшего новосибирского предприятия рассказывается об уникальном опыте передислокации действующего производства на новую промышленную </w:t>
      </w:r>
      <w:r w:rsidR="007C273B" w:rsidRPr="00704BB6">
        <w:rPr>
          <w:rFonts w:ascii="Times New Roman" w:hAnsi="Times New Roman" w:cs="Times New Roman"/>
          <w:sz w:val="24"/>
          <w:szCs w:val="24"/>
        </w:rPr>
        <w:t>площадку, о подходах к управлению машиностроительным предприятием в условиях открытого рынка, о тех проблемах, которые препятствуют сохранению и развитию высокотехнологичной промышленности в России.</w:t>
      </w:r>
    </w:p>
    <w:p w:rsidR="00704BB6" w:rsidRPr="00704BB6" w:rsidRDefault="00704BB6">
      <w:pPr>
        <w:rPr>
          <w:rFonts w:ascii="Times New Roman" w:hAnsi="Times New Roman" w:cs="Times New Roman"/>
          <w:sz w:val="24"/>
          <w:szCs w:val="24"/>
        </w:rPr>
      </w:pPr>
    </w:p>
    <w:p w:rsidR="007C273B" w:rsidRPr="00704BB6" w:rsidRDefault="007C273B">
      <w:pPr>
        <w:rPr>
          <w:rFonts w:ascii="Times New Roman" w:hAnsi="Times New Roman" w:cs="Times New Roman"/>
          <w:b/>
          <w:sz w:val="24"/>
          <w:szCs w:val="24"/>
        </w:rPr>
      </w:pPr>
      <w:r w:rsidRPr="00704BB6">
        <w:rPr>
          <w:rFonts w:ascii="Times New Roman" w:hAnsi="Times New Roman" w:cs="Times New Roman"/>
          <w:b/>
          <w:sz w:val="24"/>
          <w:szCs w:val="24"/>
        </w:rPr>
        <w:lastRenderedPageBreak/>
        <w:t>5. Аронов И., Саламатов В. Национальная система стандартизации США. Опыт работы в условиях ВТО.//Стандарты и качество.-2013.-№ 9.- С. 44-48.</w:t>
      </w:r>
    </w:p>
    <w:p w:rsidR="007C273B" w:rsidRPr="00704BB6" w:rsidRDefault="007C273B">
      <w:pPr>
        <w:rPr>
          <w:rFonts w:ascii="Times New Roman" w:hAnsi="Times New Roman" w:cs="Times New Roman"/>
          <w:sz w:val="24"/>
          <w:szCs w:val="24"/>
        </w:rPr>
      </w:pPr>
      <w:r w:rsidRPr="00704BB6">
        <w:rPr>
          <w:rFonts w:ascii="Times New Roman" w:hAnsi="Times New Roman" w:cs="Times New Roman"/>
          <w:sz w:val="24"/>
          <w:szCs w:val="24"/>
        </w:rPr>
        <w:t xml:space="preserve">Система стандартизации США имеет существенные отличия от аналогичных систем, функционирующих в различных </w:t>
      </w:r>
      <w:proofErr w:type="gramStart"/>
      <w:r w:rsidRPr="00704BB6">
        <w:rPr>
          <w:rFonts w:ascii="Times New Roman" w:hAnsi="Times New Roman" w:cs="Times New Roman"/>
          <w:sz w:val="24"/>
          <w:szCs w:val="24"/>
        </w:rPr>
        <w:t>странах-членов</w:t>
      </w:r>
      <w:proofErr w:type="gramEnd"/>
      <w:r w:rsidRPr="00704BB6">
        <w:rPr>
          <w:rFonts w:ascii="Times New Roman" w:hAnsi="Times New Roman" w:cs="Times New Roman"/>
          <w:sz w:val="24"/>
          <w:szCs w:val="24"/>
        </w:rPr>
        <w:t xml:space="preserve"> ВТО, включая Россию, что обуславливает целесообразность более детального ознакомления с ней.</w:t>
      </w:r>
    </w:p>
    <w:p w:rsidR="007C273B" w:rsidRPr="00704BB6" w:rsidRDefault="007C273B">
      <w:pPr>
        <w:rPr>
          <w:rFonts w:ascii="Times New Roman" w:hAnsi="Times New Roman" w:cs="Times New Roman"/>
          <w:b/>
          <w:sz w:val="24"/>
          <w:szCs w:val="24"/>
        </w:rPr>
      </w:pPr>
      <w:r w:rsidRPr="00704BB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A4DC6" w:rsidRPr="00704BB6">
        <w:rPr>
          <w:rFonts w:ascii="Times New Roman" w:hAnsi="Times New Roman" w:cs="Times New Roman"/>
          <w:b/>
          <w:sz w:val="24"/>
          <w:szCs w:val="24"/>
        </w:rPr>
        <w:t>Есть ли свет в конце туннеля?/Беседа гл. ред. журнала с начальником вооружения Вооруженных сил РФ.// Стандарты и качество.-2013.-№ 9.-С. 5-10.</w:t>
      </w:r>
    </w:p>
    <w:p w:rsidR="003A4DC6" w:rsidRPr="00704BB6" w:rsidRDefault="00704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беседе затронуты п</w:t>
      </w:r>
      <w:r w:rsidR="003A4DC6" w:rsidRPr="00704BB6">
        <w:rPr>
          <w:rFonts w:ascii="Times New Roman" w:hAnsi="Times New Roman" w:cs="Times New Roman"/>
          <w:sz w:val="24"/>
          <w:szCs w:val="24"/>
        </w:rPr>
        <w:t>роблемы оборонно-промышленного комплекса (ОПК), контроль качества военной техники, военная доктрина России затронуты в беседе</w:t>
      </w:r>
      <w:r>
        <w:rPr>
          <w:rFonts w:ascii="Times New Roman" w:hAnsi="Times New Roman" w:cs="Times New Roman"/>
          <w:sz w:val="24"/>
          <w:szCs w:val="24"/>
        </w:rPr>
        <w:t>, а также отмечено, что</w:t>
      </w:r>
      <w:r w:rsidR="003A4DC6" w:rsidRPr="00704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A4DC6" w:rsidRPr="00704BB6">
        <w:rPr>
          <w:rFonts w:ascii="Times New Roman" w:hAnsi="Times New Roman" w:cs="Times New Roman"/>
          <w:sz w:val="24"/>
          <w:szCs w:val="24"/>
        </w:rPr>
        <w:t>роблема обеспечения качества продукции военного назначения стала национальной проблемой.</w:t>
      </w:r>
    </w:p>
    <w:p w:rsidR="003A4DC6" w:rsidRPr="00704BB6" w:rsidRDefault="00980C1F">
      <w:pPr>
        <w:rPr>
          <w:rFonts w:ascii="Times New Roman" w:hAnsi="Times New Roman" w:cs="Times New Roman"/>
          <w:b/>
          <w:sz w:val="24"/>
          <w:szCs w:val="24"/>
        </w:rPr>
      </w:pPr>
      <w:r w:rsidRPr="00704BB6">
        <w:rPr>
          <w:rFonts w:ascii="Times New Roman" w:hAnsi="Times New Roman" w:cs="Times New Roman"/>
          <w:b/>
          <w:sz w:val="24"/>
          <w:szCs w:val="24"/>
        </w:rPr>
        <w:t>7. Самойлов В. Легальные миграционные процессы: эффективность государственно-правового управления.//Государственная служба.-2013.-№ 3.-С. 30-31.</w:t>
      </w:r>
    </w:p>
    <w:p w:rsidR="00980C1F" w:rsidRPr="00704BB6" w:rsidRDefault="00980C1F">
      <w:pPr>
        <w:rPr>
          <w:rFonts w:ascii="Times New Roman" w:hAnsi="Times New Roman" w:cs="Times New Roman"/>
          <w:sz w:val="24"/>
          <w:szCs w:val="24"/>
        </w:rPr>
      </w:pPr>
      <w:r w:rsidRPr="00704BB6">
        <w:rPr>
          <w:rFonts w:ascii="Times New Roman" w:hAnsi="Times New Roman" w:cs="Times New Roman"/>
          <w:sz w:val="24"/>
          <w:szCs w:val="24"/>
        </w:rPr>
        <w:t>В статье рассматриваются особенности регулирования легальных миграционных процессов в РФ. На основе разработанной автором методологии исследования миграционных процессов сформулированы предложения по первоочередным мерам, необходимым для формирования правового поля в этой сфере.</w:t>
      </w:r>
    </w:p>
    <w:p w:rsidR="007C273B" w:rsidRPr="00704BB6" w:rsidRDefault="007C273B">
      <w:pPr>
        <w:rPr>
          <w:rFonts w:ascii="Times New Roman" w:hAnsi="Times New Roman" w:cs="Times New Roman"/>
          <w:sz w:val="24"/>
          <w:szCs w:val="24"/>
        </w:rPr>
      </w:pPr>
    </w:p>
    <w:p w:rsidR="007C273B" w:rsidRDefault="007C273B"/>
    <w:sectPr w:rsidR="007C273B" w:rsidSect="00A4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E23170"/>
    <w:rsid w:val="003A4DC6"/>
    <w:rsid w:val="00704BB6"/>
    <w:rsid w:val="007C273B"/>
    <w:rsid w:val="00865CF4"/>
    <w:rsid w:val="008A6027"/>
    <w:rsid w:val="00980C1F"/>
    <w:rsid w:val="00A433BE"/>
    <w:rsid w:val="00E2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2013-09-24T06:21:00Z</dcterms:created>
  <dcterms:modified xsi:type="dcterms:W3CDTF">2013-09-24T07:38:00Z</dcterms:modified>
</cp:coreProperties>
</file>